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72" w:rsidRPr="00126047" w:rsidRDefault="00406404" w:rsidP="00126047">
      <w:pPr>
        <w:ind w:firstLine="708"/>
        <w:jc w:val="center"/>
        <w:rPr>
          <w:b/>
          <w:sz w:val="32"/>
          <w:szCs w:val="32"/>
        </w:rPr>
      </w:pPr>
      <w:r w:rsidRPr="00126047">
        <w:rPr>
          <w:b/>
          <w:sz w:val="32"/>
          <w:szCs w:val="32"/>
        </w:rPr>
        <w:t>KOKLEAR HİPOPLAZİLİ HASTALARDA KOKLEANIN BOYUTLARININ TEMPORAL KEMİK BİLGİSAYARLI TOMOGRAFİSİ VE TEMPORAL MANYETİK REZONANS GÖRÜNTÜLEME KULLANILARAK ÖLÇÜLMESİ VE KOKLEAR İMPLANT SEÇİMİNE ETKİLERİ</w:t>
      </w:r>
    </w:p>
    <w:p w:rsidR="00406404" w:rsidRDefault="00406404" w:rsidP="00126047">
      <w:r>
        <w:t>Dr.</w:t>
      </w:r>
      <w:r w:rsidR="00126047">
        <w:t xml:space="preserve"> </w:t>
      </w:r>
      <w:r>
        <w:t>Gözde Pamuk</w:t>
      </w:r>
      <w:r w:rsidR="00126047">
        <w:t xml:space="preserve">, </w:t>
      </w:r>
      <w:bookmarkStart w:id="0" w:name="_GoBack"/>
      <w:bookmarkEnd w:id="0"/>
    </w:p>
    <w:p w:rsidR="00126047" w:rsidRDefault="00126047" w:rsidP="00B20C1B">
      <w:pPr>
        <w:ind w:firstLine="708"/>
      </w:pPr>
    </w:p>
    <w:p w:rsidR="00B20C1B" w:rsidRDefault="00406404" w:rsidP="00B20C1B">
      <w:pPr>
        <w:ind w:firstLine="708"/>
      </w:pPr>
      <w:r w:rsidRPr="00406404">
        <w:t xml:space="preserve">İç kulak kemik </w:t>
      </w:r>
      <w:proofErr w:type="gramStart"/>
      <w:r w:rsidRPr="00406404">
        <w:t>anomalileri</w:t>
      </w:r>
      <w:proofErr w:type="gramEnd"/>
      <w:r w:rsidRPr="00406404">
        <w:t xml:space="preserve"> </w:t>
      </w:r>
      <w:proofErr w:type="spellStart"/>
      <w:r w:rsidRPr="00406404">
        <w:t>konjenital</w:t>
      </w:r>
      <w:proofErr w:type="spellEnd"/>
      <w:r w:rsidRPr="00406404">
        <w:t xml:space="preserve"> </w:t>
      </w:r>
      <w:proofErr w:type="spellStart"/>
      <w:r w:rsidRPr="00406404">
        <w:t>sensörinöral</w:t>
      </w:r>
      <w:proofErr w:type="spellEnd"/>
      <w:r w:rsidRPr="00406404">
        <w:t xml:space="preserve"> işitme kayıplarının yaklaşık %20’sini </w:t>
      </w:r>
      <w:r>
        <w:t>o</w:t>
      </w:r>
      <w:r w:rsidRPr="00406404">
        <w:t>luşturmaktadır.</w:t>
      </w:r>
      <w:r>
        <w:t xml:space="preserve"> </w:t>
      </w:r>
      <w:r w:rsidRPr="00406404">
        <w:t xml:space="preserve">İç kulak </w:t>
      </w:r>
      <w:proofErr w:type="gramStart"/>
      <w:r w:rsidRPr="00406404">
        <w:t>anomalilerinin</w:t>
      </w:r>
      <w:proofErr w:type="gramEnd"/>
      <w:r w:rsidRPr="00406404">
        <w:t xml:space="preserve"> sınıflaması ilk olarak 1987 yılında </w:t>
      </w:r>
      <w:proofErr w:type="spellStart"/>
      <w:r w:rsidRPr="00406404">
        <w:t>Jackler</w:t>
      </w:r>
      <w:proofErr w:type="spellEnd"/>
      <w:r w:rsidRPr="00406404">
        <w:t xml:space="preserve"> tarafından yapılmıştır.</w:t>
      </w:r>
      <w:r>
        <w:t xml:space="preserve"> </w:t>
      </w:r>
      <w:r w:rsidRPr="00406404">
        <w:t xml:space="preserve">Günümüzde </w:t>
      </w:r>
      <w:proofErr w:type="spellStart"/>
      <w:r w:rsidRPr="00406404">
        <w:t>Sennaroğlu</w:t>
      </w:r>
      <w:proofErr w:type="spellEnd"/>
      <w:r w:rsidRPr="00406404">
        <w:t xml:space="preserve"> sınıflaması kullanılmaktadır.</w:t>
      </w:r>
      <w:r>
        <w:t xml:space="preserve"> </w:t>
      </w:r>
    </w:p>
    <w:p w:rsidR="00B20C1B" w:rsidRDefault="00B20C1B" w:rsidP="00B20C1B">
      <w:pPr>
        <w:ind w:firstLine="708"/>
      </w:pPr>
      <w:r>
        <w:t xml:space="preserve">Çalışmamızda 36 </w:t>
      </w:r>
      <w:proofErr w:type="spellStart"/>
      <w:r>
        <w:t>koklear</w:t>
      </w:r>
      <w:proofErr w:type="spellEnd"/>
      <w:r>
        <w:t xml:space="preserve"> </w:t>
      </w:r>
      <w:proofErr w:type="spellStart"/>
      <w:r>
        <w:t>hipoplazili</w:t>
      </w:r>
      <w:proofErr w:type="spellEnd"/>
      <w:r>
        <w:t xml:space="preserve">, 40 sağlıklı </w:t>
      </w:r>
      <w:proofErr w:type="spellStart"/>
      <w:r>
        <w:t>kokleası</w:t>
      </w:r>
      <w:proofErr w:type="spellEnd"/>
      <w:r>
        <w:t xml:space="preserve"> olan hastanın BT görüntülerinde </w:t>
      </w:r>
      <w:proofErr w:type="spellStart"/>
      <w:r>
        <w:t>koklea</w:t>
      </w:r>
      <w:proofErr w:type="spellEnd"/>
      <w:r>
        <w:t xml:space="preserve"> bazal dönüş uzunluğu, bazal dönüş yüksekliği, </w:t>
      </w:r>
      <w:proofErr w:type="spellStart"/>
      <w:r>
        <w:t>midmodiolar</w:t>
      </w:r>
      <w:proofErr w:type="spellEnd"/>
      <w:r>
        <w:t xml:space="preserve"> yüksekli</w:t>
      </w:r>
      <w:r w:rsidR="008633AC">
        <w:t xml:space="preserve">k ve </w:t>
      </w:r>
      <w:proofErr w:type="spellStart"/>
      <w:r w:rsidR="008633AC">
        <w:t>koklear</w:t>
      </w:r>
      <w:proofErr w:type="spellEnd"/>
      <w:r w:rsidR="008633AC">
        <w:t xml:space="preserve"> kanal </w:t>
      </w:r>
      <w:proofErr w:type="spellStart"/>
      <w:r w:rsidR="008633AC">
        <w:t>lateral</w:t>
      </w:r>
      <w:proofErr w:type="spellEnd"/>
      <w:r w:rsidR="008633AC">
        <w:t xml:space="preserve"> ve </w:t>
      </w:r>
      <w:proofErr w:type="spellStart"/>
      <w:r w:rsidR="008633AC">
        <w:t>midskalar</w:t>
      </w:r>
      <w:proofErr w:type="spellEnd"/>
      <w:r w:rsidR="008633AC">
        <w:t xml:space="preserve"> uzunluğu </w:t>
      </w:r>
      <w:r w:rsidR="009366D8">
        <w:t xml:space="preserve">3D MPR( </w:t>
      </w:r>
      <w:proofErr w:type="spellStart"/>
      <w:r w:rsidR="009366D8">
        <w:t>multiplanar</w:t>
      </w:r>
      <w:proofErr w:type="spellEnd"/>
      <w:r w:rsidR="009366D8">
        <w:t xml:space="preserve"> </w:t>
      </w:r>
      <w:proofErr w:type="spellStart"/>
      <w:r w:rsidR="009366D8">
        <w:t>reconstruction</w:t>
      </w:r>
      <w:proofErr w:type="spellEnd"/>
      <w:r w:rsidR="009366D8">
        <w:t xml:space="preserve">) kullanılarak </w:t>
      </w:r>
      <w:r w:rsidR="008633AC">
        <w:t>ölçüldü ve veriler karşılaştırıldı.</w:t>
      </w:r>
    </w:p>
    <w:p w:rsidR="008633AC" w:rsidRDefault="008633AC" w:rsidP="00B20C1B">
      <w:pPr>
        <w:ind w:firstLine="708"/>
      </w:pPr>
      <w:r>
        <w:t xml:space="preserve">Bazal dönüş uzunluğu ve </w:t>
      </w:r>
      <w:proofErr w:type="spellStart"/>
      <w:r>
        <w:t>midmodiolar</w:t>
      </w:r>
      <w:proofErr w:type="spellEnd"/>
      <w:r>
        <w:t xml:space="preserve"> yükseklik karşılaştırıldığında tip I-III KH ile kontrol grubu arasında anlamlı fark saptandı.</w:t>
      </w:r>
      <w:r w:rsidR="003923CF">
        <w:t xml:space="preserve"> </w:t>
      </w:r>
      <w:r>
        <w:t>(p&lt;0.0</w:t>
      </w:r>
      <w:r w:rsidR="003923CF">
        <w:t xml:space="preserve">01) </w:t>
      </w:r>
      <w:proofErr w:type="spellStart"/>
      <w:r w:rsidR="003923CF">
        <w:t>Midskalar</w:t>
      </w:r>
      <w:proofErr w:type="spellEnd"/>
      <w:r w:rsidR="003923CF">
        <w:t xml:space="preserve"> kanal uzunluğunun da tip I-III </w:t>
      </w:r>
      <w:proofErr w:type="spellStart"/>
      <w:r w:rsidR="003923CF">
        <w:t>koklear</w:t>
      </w:r>
      <w:proofErr w:type="spellEnd"/>
      <w:r w:rsidR="003923CF">
        <w:t xml:space="preserve"> </w:t>
      </w:r>
      <w:proofErr w:type="spellStart"/>
      <w:r w:rsidR="003923CF">
        <w:t>hipoplazilerde</w:t>
      </w:r>
      <w:proofErr w:type="spellEnd"/>
      <w:r w:rsidR="003923CF">
        <w:t xml:space="preserve"> kontrol grubuna göre anlamlı olarak kısa olduğu saptandı. (</w:t>
      </w:r>
      <w:r>
        <w:t xml:space="preserve"> </w:t>
      </w:r>
      <w:r w:rsidR="003923CF">
        <w:t xml:space="preserve">p&lt;0.001) Buna ek olarak </w:t>
      </w:r>
      <w:proofErr w:type="spellStart"/>
      <w:r w:rsidR="003923CF">
        <w:t>koklear</w:t>
      </w:r>
      <w:proofErr w:type="spellEnd"/>
      <w:r w:rsidR="003923CF">
        <w:t xml:space="preserve"> kanal </w:t>
      </w:r>
      <w:proofErr w:type="spellStart"/>
      <w:r w:rsidR="003923CF">
        <w:t>lateral</w:t>
      </w:r>
      <w:proofErr w:type="spellEnd"/>
      <w:r w:rsidR="003923CF">
        <w:t xml:space="preserve"> uzunluğu değerlendirildiğinde, bütün </w:t>
      </w:r>
      <w:proofErr w:type="spellStart"/>
      <w:r w:rsidR="003923CF">
        <w:t>koklear</w:t>
      </w:r>
      <w:proofErr w:type="spellEnd"/>
      <w:r w:rsidR="003923CF">
        <w:t xml:space="preserve"> </w:t>
      </w:r>
      <w:proofErr w:type="spellStart"/>
      <w:r w:rsidR="003923CF">
        <w:t>hipoplazi</w:t>
      </w:r>
      <w:proofErr w:type="spellEnd"/>
      <w:r w:rsidR="003923CF">
        <w:t xml:space="preserve"> tipleri ile kontrol grubu arasında anlamlı fark saptandı. (</w:t>
      </w:r>
      <w:r w:rsidR="009366D8">
        <w:t>KH I-III: p &lt; 0.001; KH IV: p</w:t>
      </w:r>
      <w:r w:rsidR="003923CF" w:rsidRPr="003923CF">
        <w:t xml:space="preserve"> = 0.002</w:t>
      </w:r>
      <w:r w:rsidR="003923CF">
        <w:t>)</w:t>
      </w:r>
    </w:p>
    <w:p w:rsidR="009366D8" w:rsidRPr="00406404" w:rsidRDefault="009366D8" w:rsidP="00B20C1B">
      <w:pPr>
        <w:ind w:firstLine="708"/>
      </w:pPr>
      <w:proofErr w:type="spellStart"/>
      <w:r>
        <w:t>Koklea</w:t>
      </w:r>
      <w:proofErr w:type="spellEnd"/>
      <w:r>
        <w:t xml:space="preserve"> bazal dönüş uzunluğu ortalama en yüksek, KH </w:t>
      </w:r>
      <w:proofErr w:type="spellStart"/>
      <w:r>
        <w:t>IV’te</w:t>
      </w:r>
      <w:proofErr w:type="spellEnd"/>
      <w:r>
        <w:t xml:space="preserve">, 7.5 mm, </w:t>
      </w:r>
      <w:proofErr w:type="spellStart"/>
      <w:r>
        <w:t>midmodiolar</w:t>
      </w:r>
      <w:proofErr w:type="spellEnd"/>
      <w:r>
        <w:t xml:space="preserve"> yükseklik ise 3.42 mm olarak bulundu. Bu çalışmanın bir sonucu olarak, </w:t>
      </w:r>
      <w:proofErr w:type="spellStart"/>
      <w:r>
        <w:t>BT’de</w:t>
      </w:r>
      <w:proofErr w:type="spellEnd"/>
      <w:r>
        <w:t xml:space="preserve"> kolaylıkla yapılabilecek bu ölçümlerde bazal dönüş uzunluğu 7.5 mm’nin, </w:t>
      </w:r>
      <w:proofErr w:type="spellStart"/>
      <w:r>
        <w:t>midmodiolar</w:t>
      </w:r>
      <w:proofErr w:type="spellEnd"/>
      <w:r>
        <w:t xml:space="preserve"> yükseklik ise 3.42 mm’nin altında ise </w:t>
      </w:r>
      <w:proofErr w:type="spellStart"/>
      <w:r>
        <w:t>koklear</w:t>
      </w:r>
      <w:proofErr w:type="spellEnd"/>
      <w:r>
        <w:t xml:space="preserve"> </w:t>
      </w:r>
      <w:proofErr w:type="spellStart"/>
      <w:r>
        <w:t>hipoplaziden</w:t>
      </w:r>
      <w:proofErr w:type="spellEnd"/>
      <w:r>
        <w:t xml:space="preserve"> şüphelenilmelidir. Sonrasında alt </w:t>
      </w:r>
      <w:proofErr w:type="spellStart"/>
      <w:r>
        <w:t>tiplendirmesi</w:t>
      </w:r>
      <w:proofErr w:type="spellEnd"/>
      <w:r>
        <w:t xml:space="preserve"> yapılmalı ve </w:t>
      </w:r>
      <w:proofErr w:type="spellStart"/>
      <w:r>
        <w:t>koklear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 ona uygun seçilmelidir. </w:t>
      </w:r>
      <w:proofErr w:type="spellStart"/>
      <w:r>
        <w:t>Koklear</w:t>
      </w:r>
      <w:proofErr w:type="spellEnd"/>
      <w:r>
        <w:t xml:space="preserve"> kanal uzunluğuna uygun </w:t>
      </w:r>
      <w:proofErr w:type="spellStart"/>
      <w:r>
        <w:t>koklear</w:t>
      </w:r>
      <w:proofErr w:type="spellEnd"/>
      <w:r>
        <w:t xml:space="preserve"> </w:t>
      </w:r>
      <w:proofErr w:type="spellStart"/>
      <w:r>
        <w:t>implant</w:t>
      </w:r>
      <w:proofErr w:type="spellEnd"/>
      <w:r>
        <w:t xml:space="preserve"> seçilmesi riski minimize edecek, görülen faydayı ise artıracaktır.</w:t>
      </w:r>
    </w:p>
    <w:p w:rsidR="00406404" w:rsidRPr="00406404" w:rsidRDefault="00406404" w:rsidP="00406404"/>
    <w:p w:rsidR="00406404" w:rsidRDefault="00406404" w:rsidP="00406404">
      <w:pPr>
        <w:ind w:firstLine="708"/>
      </w:pPr>
    </w:p>
    <w:p w:rsidR="00406404" w:rsidRDefault="00406404" w:rsidP="00406404">
      <w:pPr>
        <w:ind w:firstLine="708"/>
      </w:pPr>
    </w:p>
    <w:sectPr w:rsidR="0040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22694"/>
    <w:multiLevelType w:val="hybridMultilevel"/>
    <w:tmpl w:val="4E48A65E"/>
    <w:lvl w:ilvl="0" w:tplc="17021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2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2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E1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C2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B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A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80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92"/>
    <w:rsid w:val="00126047"/>
    <w:rsid w:val="003923CF"/>
    <w:rsid w:val="00406404"/>
    <w:rsid w:val="0052571B"/>
    <w:rsid w:val="00685992"/>
    <w:rsid w:val="008633AC"/>
    <w:rsid w:val="009366D8"/>
    <w:rsid w:val="009C2C72"/>
    <w:rsid w:val="00B20C1B"/>
    <w:rsid w:val="00D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6334"/>
  <w15:chartTrackingRefBased/>
  <w15:docId w15:val="{2433C145-7147-4808-9B41-9939736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1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demir</dc:creator>
  <cp:keywords/>
  <dc:description/>
  <cp:lastModifiedBy>ASUS</cp:lastModifiedBy>
  <cp:revision>3</cp:revision>
  <dcterms:created xsi:type="dcterms:W3CDTF">2019-09-08T17:52:00Z</dcterms:created>
  <dcterms:modified xsi:type="dcterms:W3CDTF">2019-09-17T18:43:00Z</dcterms:modified>
</cp:coreProperties>
</file>